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4C8B" w:rsidRPr="00141C9F" w:rsidRDefault="00297F31" w:rsidP="00AB4C8B">
      <w:pPr>
        <w:pStyle w:val="Sprechblasentext"/>
        <w:tabs>
          <w:tab w:val="left" w:pos="3514"/>
          <w:tab w:val="left" w:pos="6033"/>
        </w:tabs>
        <w:spacing w:line="360" w:lineRule="exact"/>
        <w:rPr>
          <w:rFonts w:ascii="Arial" w:hAnsi="Arial" w:cs="Arial"/>
          <w:sz w:val="18"/>
          <w:szCs w:val="18"/>
        </w:rPr>
      </w:pPr>
      <w:r>
        <w:rPr>
          <w:noProof/>
        </w:rPr>
        <w:drawing>
          <wp:anchor distT="0" distB="0" distL="114300" distR="114300" simplePos="0" relativeHeight="251658240" behindDoc="0" locked="0" layoutInCell="1" allowOverlap="1">
            <wp:simplePos x="0" y="0"/>
            <wp:positionH relativeFrom="leftMargin">
              <wp:align>right</wp:align>
            </wp:positionH>
            <wp:positionV relativeFrom="paragraph">
              <wp:posOffset>-564515</wp:posOffset>
            </wp:positionV>
            <wp:extent cx="1640205" cy="704850"/>
            <wp:effectExtent l="0" t="0" r="0" b="0"/>
            <wp:wrapNone/>
            <wp:docPr id="1" name="Bild 2"/>
            <wp:cNvGraphicFramePr/>
            <a:graphic xmlns:a="http://schemas.openxmlformats.org/drawingml/2006/main">
              <a:graphicData uri="http://schemas.openxmlformats.org/drawingml/2006/picture">
                <pic:pic xmlns:pic="http://schemas.openxmlformats.org/drawingml/2006/picture">
                  <pic:nvPicPr>
                    <pic:cNvPr id="3" name="Bild 2"/>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1640205" cy="704850"/>
                    </a:xfrm>
                    <a:prstGeom prst="rect">
                      <a:avLst/>
                    </a:prstGeom>
                    <a:noFill/>
                    <a:ln>
                      <a:noFill/>
                    </a:ln>
                  </pic:spPr>
                </pic:pic>
              </a:graphicData>
            </a:graphic>
            <wp14:sizeRelH relativeFrom="page">
              <wp14:pctWidth>0</wp14:pctWidth>
            </wp14:sizeRelH>
            <wp14:sizeRelV relativeFrom="page">
              <wp14:pctHeight>0</wp14:pctHeight>
            </wp14:sizeRelV>
          </wp:anchor>
        </w:drawing>
      </w:r>
      <w:r w:rsidR="00AB4C8B" w:rsidRPr="00141C9F">
        <w:rPr>
          <w:rFonts w:ascii="Arial" w:hAnsi="Arial" w:cs="Arial"/>
          <w:sz w:val="18"/>
          <w:szCs w:val="18"/>
        </w:rPr>
        <w:tab/>
      </w:r>
      <w:r w:rsidR="002A7FDF">
        <w:rPr>
          <w:rFonts w:ascii="Arial" w:hAnsi="Arial" w:cs="Arial"/>
          <w:sz w:val="18"/>
          <w:szCs w:val="18"/>
        </w:rPr>
        <w:t>März</w:t>
      </w:r>
      <w:r w:rsidR="00AB4C8B" w:rsidRPr="00141C9F">
        <w:rPr>
          <w:rFonts w:ascii="Arial" w:hAnsi="Arial" w:cs="Arial"/>
          <w:sz w:val="18"/>
          <w:szCs w:val="18"/>
        </w:rPr>
        <w:t xml:space="preserve"> 201</w:t>
      </w:r>
      <w:r w:rsidR="00227C38">
        <w:rPr>
          <w:rFonts w:ascii="Arial" w:hAnsi="Arial" w:cs="Arial"/>
          <w:sz w:val="18"/>
          <w:szCs w:val="18"/>
        </w:rPr>
        <w:t>9</w:t>
      </w:r>
      <w:r w:rsidR="00AB4C8B" w:rsidRPr="00141C9F">
        <w:rPr>
          <w:rFonts w:ascii="Arial" w:hAnsi="Arial" w:cs="Arial"/>
          <w:sz w:val="18"/>
          <w:szCs w:val="18"/>
        </w:rPr>
        <w:tab/>
      </w:r>
    </w:p>
    <w:p w:rsidR="00AB4C8B" w:rsidRPr="00141C9F" w:rsidRDefault="00AB4C8B" w:rsidP="00AB4C8B">
      <w:pPr>
        <w:spacing w:line="320" w:lineRule="exact"/>
        <w:rPr>
          <w:rFonts w:ascii="Arial" w:hAnsi="Arial" w:cs="Arial"/>
        </w:rPr>
      </w:pPr>
    </w:p>
    <w:p w:rsidR="00B45E0C" w:rsidRDefault="00B45E0C" w:rsidP="00B45E0C">
      <w:pPr>
        <w:rPr>
          <w:color w:val="1F497D"/>
          <w:sz w:val="22"/>
          <w:szCs w:val="22"/>
        </w:rPr>
      </w:pPr>
    </w:p>
    <w:p w:rsidR="00B45E0C" w:rsidRDefault="00B45E0C" w:rsidP="00B45E0C">
      <w:pPr>
        <w:pStyle w:val="berschrift1"/>
        <w:spacing w:line="360" w:lineRule="exact"/>
        <w:rPr>
          <w:rFonts w:ascii="Arial" w:hAnsi="Arial" w:cs="Arial"/>
          <w:color w:val="000000"/>
        </w:rPr>
      </w:pPr>
      <w:r>
        <w:rPr>
          <w:rFonts w:ascii="Arial" w:hAnsi="Arial" w:cs="Arial"/>
          <w:color w:val="000000"/>
        </w:rPr>
        <w:t>2D-Schema war gestern. 3D-Trinkwasserberechnung von Hottgenroth</w:t>
      </w:r>
    </w:p>
    <w:p w:rsidR="00B45E0C" w:rsidRDefault="00B45E0C" w:rsidP="00B45E0C">
      <w:pPr>
        <w:spacing w:line="360" w:lineRule="exact"/>
        <w:rPr>
          <w:rFonts w:ascii="Arial" w:eastAsiaTheme="minorHAnsi" w:hAnsi="Arial" w:cs="Arial"/>
          <w:b/>
          <w:bCs/>
          <w:color w:val="000000"/>
        </w:rPr>
      </w:pPr>
    </w:p>
    <w:p w:rsidR="00B45E0C" w:rsidRDefault="00B45E0C" w:rsidP="00B45E0C">
      <w:pPr>
        <w:spacing w:line="360" w:lineRule="exact"/>
        <w:rPr>
          <w:rFonts w:ascii="Arial" w:hAnsi="Arial" w:cs="Arial"/>
          <w:b/>
          <w:bCs/>
          <w:color w:val="000000"/>
        </w:rPr>
      </w:pPr>
      <w:r>
        <w:rPr>
          <w:rFonts w:ascii="Arial" w:hAnsi="Arial" w:cs="Arial"/>
          <w:b/>
          <w:bCs/>
          <w:color w:val="000000"/>
        </w:rPr>
        <w:t xml:space="preserve">3D-Planung zur schnellen Erfassung und automatischer Generierung der Auslegungskomponenten </w:t>
      </w:r>
    </w:p>
    <w:p w:rsidR="00B45E0C" w:rsidRDefault="00B45E0C" w:rsidP="00B45E0C">
      <w:pPr>
        <w:pStyle w:val="Textkrper"/>
        <w:rPr>
          <w:rFonts w:ascii="Arial" w:hAnsi="Arial" w:cs="Arial"/>
          <w:color w:val="000000"/>
        </w:rPr>
      </w:pPr>
    </w:p>
    <w:p w:rsidR="00B45E0C" w:rsidRDefault="00B45E0C" w:rsidP="00B45E0C">
      <w:pPr>
        <w:spacing w:line="360" w:lineRule="exact"/>
        <w:jc w:val="both"/>
        <w:rPr>
          <w:rFonts w:ascii="Arial" w:hAnsi="Arial" w:cs="Arial"/>
          <w:color w:val="000000"/>
        </w:rPr>
      </w:pPr>
      <w:r>
        <w:rPr>
          <w:rFonts w:ascii="Arial" w:hAnsi="Arial" w:cs="Arial"/>
          <w:color w:val="000000"/>
        </w:rPr>
        <w:t>„Wasser 3D PLUS“ ist eine für Planer und Fachhandwerk maßgeschneiderte Softwarelösung zur Berechnung und Auslegung von 2D- oder 3D-Trinkwassernetzen. Das Programm bietet – anders, als in üblichen Schemazeichnungen – die Möglichkeit, mit der integrierten CAD HottCAD direkte 3D-Planungen im Grundriss zu erstellen. Damit entstehen Grundrisspläne, Schnitte, 3D-Modelle und reale Längen für die Berechnung und Massenermittlung automatisch. Für den Einbau vor Ort entstehen so zusätzlich Ausführungsdokumente auf Knopfdruck, was Missverständnisse und teure Nachbesserungen erschwert.</w:t>
      </w:r>
    </w:p>
    <w:p w:rsidR="00B45E0C" w:rsidRDefault="00B45E0C" w:rsidP="00B45E0C">
      <w:pPr>
        <w:spacing w:line="360" w:lineRule="exact"/>
        <w:jc w:val="both"/>
        <w:rPr>
          <w:rFonts w:ascii="Arial" w:hAnsi="Arial" w:cs="Arial"/>
          <w:color w:val="000000"/>
        </w:rPr>
      </w:pPr>
    </w:p>
    <w:p w:rsidR="00B45E0C" w:rsidRDefault="00B45E0C" w:rsidP="00B45E0C">
      <w:pPr>
        <w:spacing w:line="360" w:lineRule="exact"/>
        <w:jc w:val="both"/>
        <w:rPr>
          <w:rFonts w:ascii="Arial" w:hAnsi="Arial" w:cs="Arial"/>
          <w:color w:val="000000"/>
        </w:rPr>
      </w:pPr>
      <w:r>
        <w:rPr>
          <w:rFonts w:ascii="Arial" w:hAnsi="Arial" w:cs="Arial"/>
          <w:color w:val="000000"/>
        </w:rPr>
        <w:t xml:space="preserve">Beim Einzeichnen der geplanten Rohrleitungen im Grundriss werden alle benötigten Teilstrecken erfasst und zur Berechnung weitergegeben. Assistenten vereinfachen das Zeichnen und unterstützen die zügige Fertigstellung von Plänen. Detaillierte Exportfunktionen von DWG/DXF ermöglichen die Weiterverarbeitung in anderen Programmen. Neben Kalt- und Warmwassernetzen können auch Zirkulationsleitungen komfortabel erfasst und berechnet werden. Die Software gewährt eine durchgängige Projektplanung bis hin zur Erstellung von Stücklisten und der Ausgabe eines Strangschemas. </w:t>
      </w:r>
    </w:p>
    <w:p w:rsidR="00B45E0C" w:rsidRDefault="00B45E0C" w:rsidP="00B45E0C">
      <w:pPr>
        <w:jc w:val="both"/>
        <w:rPr>
          <w:rFonts w:ascii="Arial" w:hAnsi="Arial" w:cs="Arial"/>
          <w:color w:val="000000"/>
        </w:rPr>
      </w:pPr>
    </w:p>
    <w:p w:rsidR="00B45E0C" w:rsidRDefault="00B45E0C" w:rsidP="00B45E0C">
      <w:pPr>
        <w:spacing w:line="360" w:lineRule="exact"/>
        <w:jc w:val="both"/>
        <w:rPr>
          <w:rFonts w:ascii="Arial" w:hAnsi="Arial" w:cs="Arial"/>
          <w:color w:val="000000"/>
        </w:rPr>
      </w:pPr>
      <w:r>
        <w:rPr>
          <w:rFonts w:ascii="Arial" w:hAnsi="Arial" w:cs="Arial"/>
          <w:color w:val="000000"/>
        </w:rPr>
        <w:t>Die Berechnung entspricht den Anforderungen der novellierten Trinkwasserverordnung DIN 1988-300. Der Spitzenvolumenstrom wird nach einem neuen Berechnungsmodell für verschiedene Gebäudetypen bestimmt. Außerdem können Nutzungs</w:t>
      </w:r>
      <w:r>
        <w:rPr>
          <w:rFonts w:ascii="Arial" w:hAnsi="Arial" w:cs="Arial"/>
          <w:color w:val="000000"/>
        </w:rPr>
        <w:lastRenderedPageBreak/>
        <w:t>einheiten anlegt werden, um eine bessere Erfassung der Spitzenbelastung im Stockwerksbereich zu erreichen. Das Programm ermöglicht die Berechnung eines Trinkwassernetzes mit – im Lieferumfang enthaltenen – umfangreichen Herstellerdatensätzen. Ebenfalls möglich ist eine produktneutrale Auslegung des Netzes entsprechend der Vorgaben der DIN 1988-300. Hierzu wird insbesondere eine Bestimmung der Druckverlustbeiwerte (Zeta-Wert) für Abzweige normkonform durchgeführt. Druckverluste von Armaturen und Formteilen werden DIN-abhängig ermittelt.</w:t>
      </w:r>
    </w:p>
    <w:p w:rsidR="00B45E0C" w:rsidRDefault="00B45E0C" w:rsidP="00B45E0C">
      <w:pPr>
        <w:jc w:val="both"/>
        <w:rPr>
          <w:rFonts w:ascii="Arial" w:hAnsi="Arial" w:cs="Arial"/>
          <w:color w:val="000000"/>
        </w:rPr>
      </w:pPr>
    </w:p>
    <w:p w:rsidR="00B45E0C" w:rsidRDefault="00B45E0C" w:rsidP="00B45E0C">
      <w:pPr>
        <w:spacing w:line="360" w:lineRule="exact"/>
        <w:jc w:val="both"/>
        <w:rPr>
          <w:rFonts w:ascii="Arial" w:hAnsi="Arial" w:cs="Arial"/>
          <w:color w:val="000000"/>
        </w:rPr>
      </w:pPr>
      <w:r>
        <w:rPr>
          <w:rFonts w:ascii="Arial" w:hAnsi="Arial" w:cs="Arial"/>
          <w:color w:val="000000"/>
        </w:rPr>
        <w:t xml:space="preserve">Das in den meisten Programmen der Hottgenroth Software integrierte CAD-Modul </w:t>
      </w:r>
      <w:r w:rsidR="009F054A">
        <w:rPr>
          <w:rFonts w:ascii="Arial" w:hAnsi="Arial" w:cs="Arial"/>
          <w:color w:val="000000"/>
        </w:rPr>
        <w:t>HottCAD</w:t>
      </w:r>
      <w:bookmarkStart w:id="0" w:name="_GoBack"/>
      <w:bookmarkEnd w:id="0"/>
      <w:r>
        <w:rPr>
          <w:rFonts w:ascii="Arial" w:hAnsi="Arial" w:cs="Arial"/>
          <w:color w:val="000000"/>
        </w:rPr>
        <w:t xml:space="preserve"> erleichtert die Gebäudeerfassung und ermöglicht die ganzheitliche Planung im dreidimensionalen Gebäudemodell. Mit der BIM-Version „Wasser 3D PLUS“ werden Wasserversorgungsanlagen im Hinblick auf die hygienische Qualität des Trinkwassers effizient und sicher ausgelegt.</w:t>
      </w:r>
    </w:p>
    <w:p w:rsidR="002A7FDF" w:rsidRPr="002A7FDF" w:rsidRDefault="0004248C" w:rsidP="00B54C31">
      <w:pPr>
        <w:spacing w:line="360" w:lineRule="exact"/>
        <w:rPr>
          <w:rFonts w:ascii="Arial" w:hAnsi="Arial" w:cs="Arial"/>
        </w:rPr>
      </w:pPr>
      <w:r>
        <w:rPr>
          <w:rFonts w:ascii="Arial" w:hAnsi="Arial" w:cs="Arial"/>
        </w:rPr>
        <w:br/>
      </w:r>
      <w:r w:rsidR="002A7FDF" w:rsidRPr="002A7FDF">
        <w:rPr>
          <w:rFonts w:ascii="Arial" w:hAnsi="Arial" w:cs="Arial"/>
        </w:rPr>
        <w:t>Abdruck frei – Beleg erbeten, Foto: Hottgenroth, Köln</w:t>
      </w:r>
    </w:p>
    <w:p w:rsidR="00B54C31" w:rsidRDefault="00B54C31" w:rsidP="0004248C">
      <w:pPr>
        <w:pStyle w:val="Textkrper"/>
        <w:spacing w:after="120"/>
        <w:rPr>
          <w:rFonts w:ascii="Arial" w:hAnsi="Arial" w:cs="Arial"/>
        </w:rPr>
      </w:pPr>
    </w:p>
    <w:p w:rsidR="00572676" w:rsidRDefault="002A7FDF" w:rsidP="0004248C">
      <w:pPr>
        <w:pStyle w:val="Textkrper"/>
        <w:spacing w:after="120"/>
        <w:rPr>
          <w:rFonts w:ascii="Arial" w:hAnsi="Arial" w:cs="Arial"/>
        </w:rPr>
      </w:pPr>
      <w:r w:rsidRPr="002A7FDF">
        <w:rPr>
          <w:rFonts w:ascii="Arial" w:hAnsi="Arial" w:cs="Arial"/>
        </w:rPr>
        <w:t xml:space="preserve">Für weitere Informationen steht Ihnen das Team der </w:t>
      </w:r>
      <w:r w:rsidR="00572676">
        <w:rPr>
          <w:rFonts w:ascii="Arial" w:hAnsi="Arial" w:cs="Arial"/>
        </w:rPr>
        <w:t xml:space="preserve">Hottgenroth Unternehmensgruppe </w:t>
      </w:r>
      <w:r w:rsidRPr="002A7FDF">
        <w:rPr>
          <w:rFonts w:ascii="Arial" w:hAnsi="Arial" w:cs="Arial"/>
        </w:rPr>
        <w:t>gern unter</w:t>
      </w:r>
      <w:r w:rsidR="00572676">
        <w:rPr>
          <w:rFonts w:ascii="Arial" w:hAnsi="Arial" w:cs="Arial"/>
        </w:rPr>
        <w:t xml:space="preserve"> folgenden Kontaktdaten zur Ver</w:t>
      </w:r>
      <w:r w:rsidRPr="002A7FDF">
        <w:rPr>
          <w:rFonts w:ascii="Arial" w:hAnsi="Arial" w:cs="Arial"/>
        </w:rPr>
        <w:t>fügung:</w:t>
      </w:r>
    </w:p>
    <w:p w:rsidR="007D0C57" w:rsidRPr="009B60BB" w:rsidRDefault="002A7FDF" w:rsidP="00572676">
      <w:pPr>
        <w:pStyle w:val="Textkrper"/>
        <w:spacing w:after="120"/>
        <w:jc w:val="left"/>
        <w:rPr>
          <w:rFonts w:ascii="Arial" w:hAnsi="Arial" w:cs="Arial"/>
        </w:rPr>
      </w:pPr>
      <w:r w:rsidRPr="002A7FDF">
        <w:rPr>
          <w:rFonts w:ascii="Arial" w:hAnsi="Arial" w:cs="Arial"/>
        </w:rPr>
        <w:t xml:space="preserve">Hottgenroth </w:t>
      </w:r>
      <w:r w:rsidR="00572676">
        <w:rPr>
          <w:rFonts w:ascii="Arial" w:hAnsi="Arial" w:cs="Arial"/>
        </w:rPr>
        <w:t>Software GmbH &amp; Co. KG</w:t>
      </w:r>
      <w:r w:rsidR="00572676">
        <w:rPr>
          <w:rFonts w:ascii="Arial" w:hAnsi="Arial" w:cs="Arial"/>
        </w:rPr>
        <w:br/>
        <w:t xml:space="preserve">Von-Hünefeld-Straße 3 </w:t>
      </w:r>
      <w:r w:rsidR="00572676">
        <w:rPr>
          <w:rFonts w:ascii="Arial" w:hAnsi="Arial" w:cs="Arial"/>
        </w:rPr>
        <w:br/>
      </w:r>
      <w:r w:rsidRPr="002A7FDF">
        <w:rPr>
          <w:rFonts w:ascii="Arial" w:hAnsi="Arial" w:cs="Arial"/>
        </w:rPr>
        <w:t>50829 Köln</w:t>
      </w:r>
      <w:r w:rsidR="00572676">
        <w:rPr>
          <w:rFonts w:ascii="Arial" w:hAnsi="Arial" w:cs="Arial"/>
        </w:rPr>
        <w:br/>
        <w:t>Tel.:</w:t>
      </w:r>
      <w:r w:rsidR="00572676">
        <w:rPr>
          <w:rFonts w:ascii="Arial" w:hAnsi="Arial" w:cs="Arial"/>
        </w:rPr>
        <w:tab/>
        <w:t xml:space="preserve">+49(0)221.70 99 33 40 </w:t>
      </w:r>
      <w:r w:rsidR="00572676">
        <w:rPr>
          <w:rFonts w:ascii="Arial" w:hAnsi="Arial" w:cs="Arial"/>
        </w:rPr>
        <w:br/>
      </w:r>
      <w:r w:rsidRPr="002A7FDF">
        <w:rPr>
          <w:rFonts w:ascii="Arial" w:hAnsi="Arial" w:cs="Arial"/>
        </w:rPr>
        <w:t xml:space="preserve">Fax: </w:t>
      </w:r>
      <w:r w:rsidRPr="002A7FDF">
        <w:rPr>
          <w:rFonts w:ascii="Arial" w:hAnsi="Arial" w:cs="Arial"/>
        </w:rPr>
        <w:tab/>
        <w:t>+49(0)221.70 99</w:t>
      </w:r>
      <w:r w:rsidR="00572676">
        <w:rPr>
          <w:rFonts w:ascii="Arial" w:hAnsi="Arial" w:cs="Arial"/>
        </w:rPr>
        <w:t xml:space="preserve"> 33 44</w:t>
      </w:r>
      <w:r w:rsidR="00572676">
        <w:rPr>
          <w:rFonts w:ascii="Arial" w:hAnsi="Arial" w:cs="Arial"/>
        </w:rPr>
        <w:br/>
      </w:r>
      <w:r w:rsidRPr="002A7FDF">
        <w:rPr>
          <w:rFonts w:ascii="Arial" w:hAnsi="Arial" w:cs="Arial"/>
        </w:rPr>
        <w:t xml:space="preserve">E-Mail: </w:t>
      </w:r>
      <w:hyperlink r:id="rId7" w:history="1">
        <w:r w:rsidR="00572676" w:rsidRPr="00BC4724">
          <w:rPr>
            <w:rStyle w:val="Hyperlink"/>
            <w:rFonts w:ascii="Arial" w:hAnsi="Arial" w:cs="Arial"/>
          </w:rPr>
          <w:t>vertrieb@hottgenroth.de</w:t>
        </w:r>
      </w:hyperlink>
      <w:r w:rsidR="00572676">
        <w:rPr>
          <w:rFonts w:ascii="Arial" w:hAnsi="Arial" w:cs="Arial"/>
        </w:rPr>
        <w:br/>
      </w:r>
      <w:r w:rsidRPr="002A7FDF">
        <w:rPr>
          <w:rFonts w:ascii="Arial" w:hAnsi="Arial" w:cs="Arial"/>
        </w:rPr>
        <w:t>www.hottgenroth.de / www.etu.de</w:t>
      </w:r>
    </w:p>
    <w:sectPr w:rsidR="007D0C57" w:rsidRPr="009B60BB" w:rsidSect="007D0C57">
      <w:headerReference w:type="default" r:id="rId8"/>
      <w:footerReference w:type="first" r:id="rId9"/>
      <w:pgSz w:w="11906" w:h="16838" w:code="9"/>
      <w:pgMar w:top="1729" w:right="1134" w:bottom="2268" w:left="4105" w:header="1021" w:footer="709" w:gutter="0"/>
      <w:pgNumType w:fmt="numberInDash"/>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1D7A" w:rsidRDefault="005A1D7A">
      <w:r>
        <w:separator/>
      </w:r>
    </w:p>
  </w:endnote>
  <w:endnote w:type="continuationSeparator" w:id="0">
    <w:p w:rsidR="005A1D7A" w:rsidRDefault="005A1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4CBF" w:rsidRPr="00424CBF" w:rsidRDefault="00424CBF" w:rsidP="00424CBF">
    <w:pPr>
      <w:pStyle w:val="Fuzeile"/>
      <w:tabs>
        <w:tab w:val="clear" w:pos="4536"/>
        <w:tab w:val="clear" w:pos="9072"/>
        <w:tab w:val="left" w:pos="144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1D7A" w:rsidRDefault="005A1D7A">
      <w:r>
        <w:separator/>
      </w:r>
    </w:p>
  </w:footnote>
  <w:footnote w:type="continuationSeparator" w:id="0">
    <w:p w:rsidR="005A1D7A" w:rsidRDefault="005A1D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5F3" w:rsidRPr="00664594" w:rsidRDefault="006955F3">
    <w:pPr>
      <w:pStyle w:val="Kopfzeile"/>
      <w:jc w:val="center"/>
      <w:rPr>
        <w:rFonts w:ascii="Arial" w:hAnsi="Arial" w:cs="Arial"/>
        <w:sz w:val="20"/>
        <w:szCs w:val="20"/>
      </w:rPr>
    </w:pPr>
    <w:r w:rsidRPr="00664594">
      <w:rPr>
        <w:rStyle w:val="Seitenzahl"/>
        <w:rFonts w:ascii="Arial" w:hAnsi="Arial" w:cs="Arial"/>
        <w:sz w:val="20"/>
        <w:szCs w:val="20"/>
      </w:rPr>
      <w:fldChar w:fldCharType="begin"/>
    </w:r>
    <w:r w:rsidRPr="00664594">
      <w:rPr>
        <w:rStyle w:val="Seitenzahl"/>
        <w:rFonts w:ascii="Arial" w:hAnsi="Arial" w:cs="Arial"/>
        <w:sz w:val="20"/>
        <w:szCs w:val="20"/>
      </w:rPr>
      <w:instrText xml:space="preserve"> PAGE </w:instrText>
    </w:r>
    <w:r w:rsidRPr="00664594">
      <w:rPr>
        <w:rStyle w:val="Seitenzahl"/>
        <w:rFonts w:ascii="Arial" w:hAnsi="Arial" w:cs="Arial"/>
        <w:sz w:val="20"/>
        <w:szCs w:val="20"/>
      </w:rPr>
      <w:fldChar w:fldCharType="separate"/>
    </w:r>
    <w:r w:rsidR="009F054A">
      <w:rPr>
        <w:rStyle w:val="Seitenzahl"/>
        <w:rFonts w:ascii="Arial" w:hAnsi="Arial" w:cs="Arial"/>
        <w:noProof/>
        <w:sz w:val="20"/>
        <w:szCs w:val="20"/>
      </w:rPr>
      <w:t>- 2 -</w:t>
    </w:r>
    <w:r w:rsidRPr="00664594">
      <w:rPr>
        <w:rStyle w:val="Seitenzahl"/>
        <w:rFonts w:ascii="Arial" w:hAnsi="Arial" w:cs="Arial"/>
        <w:sz w:val="20"/>
        <w:szCs w:val="20"/>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C8B"/>
    <w:rsid w:val="00007CB9"/>
    <w:rsid w:val="00017B07"/>
    <w:rsid w:val="0004248C"/>
    <w:rsid w:val="00046B19"/>
    <w:rsid w:val="000504E5"/>
    <w:rsid w:val="00051F02"/>
    <w:rsid w:val="0006169B"/>
    <w:rsid w:val="00082331"/>
    <w:rsid w:val="000A6487"/>
    <w:rsid w:val="000B5697"/>
    <w:rsid w:val="000B7E9F"/>
    <w:rsid w:val="000C335A"/>
    <w:rsid w:val="000E2226"/>
    <w:rsid w:val="000E71BC"/>
    <w:rsid w:val="000F18D2"/>
    <w:rsid w:val="00107798"/>
    <w:rsid w:val="00122EE5"/>
    <w:rsid w:val="001464DF"/>
    <w:rsid w:val="001841F2"/>
    <w:rsid w:val="001853B3"/>
    <w:rsid w:val="001B1584"/>
    <w:rsid w:val="001D1B45"/>
    <w:rsid w:val="001E092C"/>
    <w:rsid w:val="002058B6"/>
    <w:rsid w:val="00227C38"/>
    <w:rsid w:val="002338FF"/>
    <w:rsid w:val="002515CE"/>
    <w:rsid w:val="00286311"/>
    <w:rsid w:val="00297A80"/>
    <w:rsid w:val="00297F31"/>
    <w:rsid w:val="002A0BD8"/>
    <w:rsid w:val="002A366D"/>
    <w:rsid w:val="002A37B4"/>
    <w:rsid w:val="002A7F56"/>
    <w:rsid w:val="002A7FDF"/>
    <w:rsid w:val="002F7628"/>
    <w:rsid w:val="00301E41"/>
    <w:rsid w:val="003023A4"/>
    <w:rsid w:val="0033034D"/>
    <w:rsid w:val="003348DD"/>
    <w:rsid w:val="00335C6E"/>
    <w:rsid w:val="00336E45"/>
    <w:rsid w:val="00362963"/>
    <w:rsid w:val="00383ADF"/>
    <w:rsid w:val="00383ED7"/>
    <w:rsid w:val="00387E27"/>
    <w:rsid w:val="00387F41"/>
    <w:rsid w:val="003D0AD6"/>
    <w:rsid w:val="003E18F7"/>
    <w:rsid w:val="003E2290"/>
    <w:rsid w:val="00405572"/>
    <w:rsid w:val="00424CBF"/>
    <w:rsid w:val="00446CBF"/>
    <w:rsid w:val="00462468"/>
    <w:rsid w:val="00470C9B"/>
    <w:rsid w:val="00496429"/>
    <w:rsid w:val="004A2956"/>
    <w:rsid w:val="004A716E"/>
    <w:rsid w:val="004A7CD9"/>
    <w:rsid w:val="004C454B"/>
    <w:rsid w:val="004F0B9D"/>
    <w:rsid w:val="00512521"/>
    <w:rsid w:val="00516E73"/>
    <w:rsid w:val="005207B6"/>
    <w:rsid w:val="00525423"/>
    <w:rsid w:val="00534F38"/>
    <w:rsid w:val="00543310"/>
    <w:rsid w:val="005438CA"/>
    <w:rsid w:val="005458E7"/>
    <w:rsid w:val="00572676"/>
    <w:rsid w:val="0057272E"/>
    <w:rsid w:val="005A1D7A"/>
    <w:rsid w:val="005A577A"/>
    <w:rsid w:val="005C6FC2"/>
    <w:rsid w:val="005D7926"/>
    <w:rsid w:val="006065E5"/>
    <w:rsid w:val="006532B6"/>
    <w:rsid w:val="006554CC"/>
    <w:rsid w:val="00671D99"/>
    <w:rsid w:val="006853BE"/>
    <w:rsid w:val="00692337"/>
    <w:rsid w:val="006955F3"/>
    <w:rsid w:val="00697E52"/>
    <w:rsid w:val="006A7C4C"/>
    <w:rsid w:val="006B5BCF"/>
    <w:rsid w:val="006F65E9"/>
    <w:rsid w:val="00701BB7"/>
    <w:rsid w:val="00727E30"/>
    <w:rsid w:val="00733F60"/>
    <w:rsid w:val="00743633"/>
    <w:rsid w:val="0075125F"/>
    <w:rsid w:val="00751568"/>
    <w:rsid w:val="0076541A"/>
    <w:rsid w:val="00777131"/>
    <w:rsid w:val="00795CB7"/>
    <w:rsid w:val="007968BA"/>
    <w:rsid w:val="00797A20"/>
    <w:rsid w:val="007D0C57"/>
    <w:rsid w:val="00806E54"/>
    <w:rsid w:val="00812EB3"/>
    <w:rsid w:val="00842CA3"/>
    <w:rsid w:val="0084639B"/>
    <w:rsid w:val="00847506"/>
    <w:rsid w:val="0085622E"/>
    <w:rsid w:val="0086179C"/>
    <w:rsid w:val="00862726"/>
    <w:rsid w:val="00883A33"/>
    <w:rsid w:val="008C432E"/>
    <w:rsid w:val="009419BE"/>
    <w:rsid w:val="00942A5A"/>
    <w:rsid w:val="009476CF"/>
    <w:rsid w:val="00955FC3"/>
    <w:rsid w:val="00982A33"/>
    <w:rsid w:val="00990DCE"/>
    <w:rsid w:val="00991B17"/>
    <w:rsid w:val="009A5EB3"/>
    <w:rsid w:val="009B1FD3"/>
    <w:rsid w:val="009C474D"/>
    <w:rsid w:val="009D0175"/>
    <w:rsid w:val="009D1A45"/>
    <w:rsid w:val="009E1360"/>
    <w:rsid w:val="009F054A"/>
    <w:rsid w:val="009F5FBF"/>
    <w:rsid w:val="009F7C5B"/>
    <w:rsid w:val="00A20234"/>
    <w:rsid w:val="00A265BE"/>
    <w:rsid w:val="00A37F7C"/>
    <w:rsid w:val="00A40198"/>
    <w:rsid w:val="00A46BE1"/>
    <w:rsid w:val="00A7111B"/>
    <w:rsid w:val="00A80D12"/>
    <w:rsid w:val="00A84F99"/>
    <w:rsid w:val="00AB39C0"/>
    <w:rsid w:val="00AB4C8B"/>
    <w:rsid w:val="00AC6D72"/>
    <w:rsid w:val="00AE3024"/>
    <w:rsid w:val="00B05520"/>
    <w:rsid w:val="00B20F1C"/>
    <w:rsid w:val="00B20F1F"/>
    <w:rsid w:val="00B3363C"/>
    <w:rsid w:val="00B45E0C"/>
    <w:rsid w:val="00B466CD"/>
    <w:rsid w:val="00B54C31"/>
    <w:rsid w:val="00B562F5"/>
    <w:rsid w:val="00B75FD2"/>
    <w:rsid w:val="00B917E3"/>
    <w:rsid w:val="00BB74FD"/>
    <w:rsid w:val="00BD3FA6"/>
    <w:rsid w:val="00BF7D4D"/>
    <w:rsid w:val="00C008D4"/>
    <w:rsid w:val="00C35C6E"/>
    <w:rsid w:val="00C45A3F"/>
    <w:rsid w:val="00C50593"/>
    <w:rsid w:val="00C72093"/>
    <w:rsid w:val="00C87160"/>
    <w:rsid w:val="00CA6C84"/>
    <w:rsid w:val="00CB4148"/>
    <w:rsid w:val="00CC37F7"/>
    <w:rsid w:val="00CE493C"/>
    <w:rsid w:val="00D17783"/>
    <w:rsid w:val="00D1780E"/>
    <w:rsid w:val="00D2353E"/>
    <w:rsid w:val="00D3168C"/>
    <w:rsid w:val="00D337B2"/>
    <w:rsid w:val="00D43628"/>
    <w:rsid w:val="00D5555D"/>
    <w:rsid w:val="00DA143F"/>
    <w:rsid w:val="00DA294A"/>
    <w:rsid w:val="00DB5FD3"/>
    <w:rsid w:val="00DD7C86"/>
    <w:rsid w:val="00DF2CF7"/>
    <w:rsid w:val="00E017B2"/>
    <w:rsid w:val="00E0570D"/>
    <w:rsid w:val="00E064B0"/>
    <w:rsid w:val="00E07C1E"/>
    <w:rsid w:val="00E12DF0"/>
    <w:rsid w:val="00E20759"/>
    <w:rsid w:val="00E214AF"/>
    <w:rsid w:val="00E35C25"/>
    <w:rsid w:val="00E9746D"/>
    <w:rsid w:val="00EA396F"/>
    <w:rsid w:val="00ED02E4"/>
    <w:rsid w:val="00EE2377"/>
    <w:rsid w:val="00EE53EF"/>
    <w:rsid w:val="00EF1767"/>
    <w:rsid w:val="00F06AE5"/>
    <w:rsid w:val="00F22227"/>
    <w:rsid w:val="00F4090E"/>
    <w:rsid w:val="00F40AE0"/>
    <w:rsid w:val="00F43F81"/>
    <w:rsid w:val="00F53522"/>
    <w:rsid w:val="00F61757"/>
    <w:rsid w:val="00FB449B"/>
    <w:rsid w:val="00FB6DC2"/>
    <w:rsid w:val="00FC6E73"/>
    <w:rsid w:val="00FE0E7B"/>
    <w:rsid w:val="00FF232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5:chartTrackingRefBased/>
  <w15:docId w15:val="{32874C0B-B9A5-43E2-A4C1-F26C1DCD9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B4C8B"/>
    <w:rPr>
      <w:rFonts w:ascii="Times New Roman" w:eastAsia="Times New Roman" w:hAnsi="Times New Roman"/>
      <w:sz w:val="24"/>
      <w:szCs w:val="24"/>
    </w:rPr>
  </w:style>
  <w:style w:type="paragraph" w:styleId="berschrift1">
    <w:name w:val="heading 1"/>
    <w:basedOn w:val="Standard"/>
    <w:next w:val="Standard"/>
    <w:link w:val="berschrift1Zchn"/>
    <w:qFormat/>
    <w:rsid w:val="005A577A"/>
    <w:pPr>
      <w:keepNext/>
      <w:outlineLvl w:val="0"/>
    </w:pPr>
    <w:rPr>
      <w:rFonts w:ascii="Verdana" w:hAnsi="Verdana"/>
      <w:b/>
      <w:bCs/>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AB4C8B"/>
    <w:rPr>
      <w:color w:val="0000FF"/>
      <w:u w:val="single"/>
    </w:rPr>
  </w:style>
  <w:style w:type="paragraph" w:styleId="Textkrper">
    <w:name w:val="Body Text"/>
    <w:basedOn w:val="Standard"/>
    <w:link w:val="TextkrperZchn"/>
    <w:rsid w:val="00AB4C8B"/>
    <w:pPr>
      <w:spacing w:line="360" w:lineRule="exact"/>
      <w:jc w:val="both"/>
    </w:pPr>
    <w:rPr>
      <w:rFonts w:ascii="Verdana" w:hAnsi="Verdana"/>
    </w:rPr>
  </w:style>
  <w:style w:type="character" w:customStyle="1" w:styleId="TextkrperZchn">
    <w:name w:val="Textkörper Zchn"/>
    <w:link w:val="Textkrper"/>
    <w:rsid w:val="00AB4C8B"/>
    <w:rPr>
      <w:rFonts w:ascii="Verdana" w:eastAsia="Times New Roman" w:hAnsi="Verdana" w:cs="Times New Roman"/>
      <w:sz w:val="24"/>
      <w:szCs w:val="24"/>
      <w:lang w:eastAsia="de-DE"/>
    </w:rPr>
  </w:style>
  <w:style w:type="paragraph" w:styleId="Sprechblasentext">
    <w:name w:val="Balloon Text"/>
    <w:basedOn w:val="Standard"/>
    <w:link w:val="SprechblasentextZchn"/>
    <w:semiHidden/>
    <w:rsid w:val="00AB4C8B"/>
    <w:rPr>
      <w:rFonts w:ascii="Tahoma" w:hAnsi="Tahoma" w:cs="Tahoma"/>
      <w:sz w:val="16"/>
      <w:szCs w:val="16"/>
    </w:rPr>
  </w:style>
  <w:style w:type="character" w:customStyle="1" w:styleId="SprechblasentextZchn">
    <w:name w:val="Sprechblasentext Zchn"/>
    <w:link w:val="Sprechblasentext"/>
    <w:semiHidden/>
    <w:rsid w:val="00AB4C8B"/>
    <w:rPr>
      <w:rFonts w:ascii="Tahoma" w:eastAsia="Times New Roman" w:hAnsi="Tahoma" w:cs="Tahoma"/>
      <w:sz w:val="16"/>
      <w:szCs w:val="16"/>
      <w:lang w:eastAsia="de-DE"/>
    </w:rPr>
  </w:style>
  <w:style w:type="paragraph" w:styleId="Kopfzeile">
    <w:name w:val="header"/>
    <w:basedOn w:val="Standard"/>
    <w:link w:val="KopfzeileZchn"/>
    <w:rsid w:val="00AB4C8B"/>
    <w:pPr>
      <w:tabs>
        <w:tab w:val="center" w:pos="4536"/>
        <w:tab w:val="right" w:pos="9072"/>
      </w:tabs>
    </w:pPr>
  </w:style>
  <w:style w:type="character" w:customStyle="1" w:styleId="KopfzeileZchn">
    <w:name w:val="Kopfzeile Zchn"/>
    <w:link w:val="Kopfzeile"/>
    <w:rsid w:val="00AB4C8B"/>
    <w:rPr>
      <w:rFonts w:ascii="Times New Roman" w:eastAsia="Times New Roman" w:hAnsi="Times New Roman" w:cs="Times New Roman"/>
      <w:sz w:val="24"/>
      <w:szCs w:val="24"/>
      <w:lang w:eastAsia="de-DE"/>
    </w:rPr>
  </w:style>
  <w:style w:type="character" w:styleId="Seitenzahl">
    <w:name w:val="page number"/>
    <w:rsid w:val="00AB4C8B"/>
  </w:style>
  <w:style w:type="paragraph" w:styleId="Fuzeile">
    <w:name w:val="footer"/>
    <w:basedOn w:val="Standard"/>
    <w:link w:val="FuzeileZchn"/>
    <w:uiPriority w:val="99"/>
    <w:unhideWhenUsed/>
    <w:rsid w:val="002A366D"/>
    <w:pPr>
      <w:tabs>
        <w:tab w:val="center" w:pos="4536"/>
        <w:tab w:val="right" w:pos="9072"/>
      </w:tabs>
    </w:pPr>
  </w:style>
  <w:style w:type="character" w:customStyle="1" w:styleId="FuzeileZchn">
    <w:name w:val="Fußzeile Zchn"/>
    <w:link w:val="Fuzeile"/>
    <w:uiPriority w:val="99"/>
    <w:rsid w:val="002A366D"/>
    <w:rPr>
      <w:rFonts w:ascii="Times New Roman" w:eastAsia="Times New Roman" w:hAnsi="Times New Roman"/>
      <w:sz w:val="24"/>
      <w:szCs w:val="24"/>
    </w:rPr>
  </w:style>
  <w:style w:type="character" w:customStyle="1" w:styleId="berschrift1Zchn">
    <w:name w:val="Überschrift 1 Zchn"/>
    <w:basedOn w:val="Absatz-Standardschriftart"/>
    <w:link w:val="berschrift1"/>
    <w:rsid w:val="005A577A"/>
    <w:rPr>
      <w:rFonts w:ascii="Verdana" w:eastAsia="Times New Roman" w:hAnsi="Verdana"/>
      <w:b/>
      <w:bCs/>
      <w:sz w:val="24"/>
      <w:szCs w:val="24"/>
      <w:u w:val="single"/>
    </w:rPr>
  </w:style>
  <w:style w:type="paragraph" w:styleId="StandardWeb">
    <w:name w:val="Normal (Web)"/>
    <w:basedOn w:val="Standard"/>
    <w:uiPriority w:val="99"/>
    <w:semiHidden/>
    <w:unhideWhenUsed/>
    <w:rsid w:val="005A577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6972130">
      <w:bodyDiv w:val="1"/>
      <w:marLeft w:val="0"/>
      <w:marRight w:val="0"/>
      <w:marTop w:val="0"/>
      <w:marBottom w:val="0"/>
      <w:divBdr>
        <w:top w:val="none" w:sz="0" w:space="0" w:color="auto"/>
        <w:left w:val="none" w:sz="0" w:space="0" w:color="auto"/>
        <w:bottom w:val="none" w:sz="0" w:space="0" w:color="auto"/>
        <w:right w:val="none" w:sz="0" w:space="0" w:color="auto"/>
      </w:divBdr>
    </w:div>
    <w:div w:id="1216234194">
      <w:bodyDiv w:val="1"/>
      <w:marLeft w:val="0"/>
      <w:marRight w:val="0"/>
      <w:marTop w:val="0"/>
      <w:marBottom w:val="0"/>
      <w:divBdr>
        <w:top w:val="none" w:sz="0" w:space="0" w:color="auto"/>
        <w:left w:val="none" w:sz="0" w:space="0" w:color="auto"/>
        <w:bottom w:val="none" w:sz="0" w:space="0" w:color="auto"/>
        <w:right w:val="none" w:sz="0" w:space="0" w:color="auto"/>
      </w:divBdr>
    </w:div>
    <w:div w:id="1544632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vertrieb@hottgenroth.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393</Words>
  <Characters>2477</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„Lüftungskonzept DIN 1946-6“ von Hottgenroth/ETU Software</vt:lpstr>
    </vt:vector>
  </TitlesOfParts>
  <Company>HSETU</Company>
  <LinksUpToDate>false</LinksUpToDate>
  <CharactersWithSpaces>2865</CharactersWithSpaces>
  <SharedDoc>false</SharedDoc>
  <HLinks>
    <vt:vector size="18" baseType="variant">
      <vt:variant>
        <vt:i4>7340143</vt:i4>
      </vt:variant>
      <vt:variant>
        <vt:i4>6</vt:i4>
      </vt:variant>
      <vt:variant>
        <vt:i4>0</vt:i4>
      </vt:variant>
      <vt:variant>
        <vt:i4>5</vt:i4>
      </vt:variant>
      <vt:variant>
        <vt:lpwstr>http://www.etu.de/</vt:lpwstr>
      </vt:variant>
      <vt:variant>
        <vt:lpwstr/>
      </vt:variant>
      <vt:variant>
        <vt:i4>7471203</vt:i4>
      </vt:variant>
      <vt:variant>
        <vt:i4>3</vt:i4>
      </vt:variant>
      <vt:variant>
        <vt:i4>0</vt:i4>
      </vt:variant>
      <vt:variant>
        <vt:i4>5</vt:i4>
      </vt:variant>
      <vt:variant>
        <vt:lpwstr>http://www.hottgenroth.de/</vt:lpwstr>
      </vt:variant>
      <vt:variant>
        <vt:lpwstr/>
      </vt:variant>
      <vt:variant>
        <vt:i4>917540</vt:i4>
      </vt:variant>
      <vt:variant>
        <vt:i4>0</vt:i4>
      </vt:variant>
      <vt:variant>
        <vt:i4>0</vt:i4>
      </vt:variant>
      <vt:variant>
        <vt:i4>5</vt:i4>
      </vt:variant>
      <vt:variant>
        <vt:lpwstr>mailto:vertrieb@etu.de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„Lüftungskonzept DIN 1946-6“ von Hottgenroth/ETU Software</dc:title>
  <dc:subject/>
  <dc:creator>Guido Wollenberg</dc:creator>
  <cp:keywords>Presseinfo</cp:keywords>
  <cp:lastModifiedBy>Tanja Gerhard</cp:lastModifiedBy>
  <cp:revision>12</cp:revision>
  <cp:lastPrinted>2013-01-10T08:49:00Z</cp:lastPrinted>
  <dcterms:created xsi:type="dcterms:W3CDTF">2019-03-20T12:00:00Z</dcterms:created>
  <dcterms:modified xsi:type="dcterms:W3CDTF">2019-04-03T12:31:00Z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-1877057086</vt:i4>
  </property>
</Properties>
</file>